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EF" w:rsidRDefault="006568EF" w:rsidP="006568EF">
      <w:pPr>
        <w:pStyle w:val="Titre2"/>
        <w:spacing w:before="0" w:line="240" w:lineRule="auto"/>
        <w:rPr>
          <w:sz w:val="40"/>
          <w:szCs w:val="40"/>
        </w:rPr>
      </w:pPr>
      <w:r>
        <w:rPr>
          <w:noProof/>
          <w:sz w:val="40"/>
          <w:szCs w:val="40"/>
          <w:lang w:eastAsia="fr-FR"/>
        </w:rPr>
        <w:drawing>
          <wp:inline distT="0" distB="0" distL="0" distR="0">
            <wp:extent cx="1198255" cy="92392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fRe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78" cy="925870"/>
                    </a:xfrm>
                    <a:prstGeom prst="rect">
                      <a:avLst/>
                    </a:prstGeom>
                  </pic:spPr>
                </pic:pic>
              </a:graphicData>
            </a:graphic>
          </wp:inline>
        </w:drawing>
      </w:r>
    </w:p>
    <w:p w:rsidR="006568EF" w:rsidRDefault="006568EF" w:rsidP="006568EF">
      <w:pPr>
        <w:pStyle w:val="Titre2"/>
        <w:spacing w:before="0" w:line="240" w:lineRule="auto"/>
        <w:jc w:val="right"/>
        <w:rPr>
          <w:sz w:val="40"/>
          <w:szCs w:val="40"/>
        </w:rPr>
      </w:pPr>
    </w:p>
    <w:p w:rsidR="006568EF" w:rsidRPr="001946FA" w:rsidRDefault="006568EF" w:rsidP="006568EF">
      <w:pPr>
        <w:pStyle w:val="Titre2"/>
        <w:spacing w:before="0" w:line="240" w:lineRule="auto"/>
        <w:jc w:val="right"/>
      </w:pPr>
      <w:proofErr w:type="spellStart"/>
      <w:r w:rsidRPr="006568EF">
        <w:rPr>
          <w:sz w:val="40"/>
          <w:szCs w:val="40"/>
        </w:rPr>
        <w:t>TransFormations</w:t>
      </w:r>
      <w:proofErr w:type="spellEnd"/>
      <w:r>
        <w:rPr>
          <w:sz w:val="40"/>
          <w:szCs w:val="40"/>
        </w:rPr>
        <w:t>-</w:t>
      </w:r>
      <w:r w:rsidRPr="006568EF">
        <w:rPr>
          <w:i/>
          <w:sz w:val="32"/>
          <w:szCs w:val="32"/>
        </w:rPr>
        <w:t>Recherches en éducation et formation des adultes</w:t>
      </w:r>
      <w:r w:rsidRPr="006568EF">
        <w:rPr>
          <w:sz w:val="40"/>
          <w:szCs w:val="40"/>
        </w:rPr>
        <w:t xml:space="preserve">  n°10</w:t>
      </w:r>
      <w:r w:rsidRPr="006568EF">
        <w:rPr>
          <w:rFonts w:cstheme="minorHAnsi"/>
          <w:noProof/>
          <w:sz w:val="32"/>
          <w:szCs w:val="32"/>
        </w:rPr>
        <w:t xml:space="preserve"> </w:t>
      </w:r>
    </w:p>
    <w:p w:rsidR="006568EF" w:rsidRDefault="001946FA" w:rsidP="001946FA">
      <w:pPr>
        <w:pStyle w:val="NormalWeb"/>
        <w:spacing w:before="0" w:beforeAutospacing="0" w:after="0"/>
        <w:rPr>
          <w:rFonts w:asciiTheme="minorHAnsi" w:hAnsiTheme="minorHAnsi" w:cstheme="minorHAnsi"/>
          <w:sz w:val="32"/>
          <w:szCs w:val="32"/>
        </w:rPr>
      </w:pPr>
      <w:r w:rsidRPr="001946FA">
        <w:rPr>
          <w:rFonts w:asciiTheme="minorHAnsi" w:hAnsiTheme="minorHAnsi" w:cstheme="minorHAnsi"/>
          <w:sz w:val="32"/>
          <w:szCs w:val="32"/>
        </w:rPr>
        <w:t xml:space="preserve">     </w:t>
      </w:r>
    </w:p>
    <w:p w:rsidR="009427B6" w:rsidRDefault="009427B6" w:rsidP="001946FA">
      <w:pPr>
        <w:pStyle w:val="NormalWeb"/>
        <w:spacing w:before="0" w:beforeAutospacing="0" w:after="0"/>
        <w:rPr>
          <w:rFonts w:asciiTheme="minorHAnsi" w:hAnsiTheme="minorHAnsi" w:cstheme="minorHAnsi"/>
          <w:sz w:val="32"/>
          <w:szCs w:val="32"/>
        </w:rPr>
      </w:pPr>
    </w:p>
    <w:p w:rsidR="00642ADE" w:rsidRDefault="001946FA" w:rsidP="001946FA">
      <w:pPr>
        <w:pStyle w:val="NormalWeb"/>
        <w:spacing w:before="0" w:beforeAutospacing="0" w:after="0"/>
        <w:rPr>
          <w:rStyle w:val="TitreCar"/>
        </w:rPr>
      </w:pPr>
      <w:r>
        <w:rPr>
          <w:rFonts w:asciiTheme="minorHAnsi" w:hAnsiTheme="minorHAnsi" w:cstheme="minorHAnsi"/>
          <w:sz w:val="32"/>
          <w:szCs w:val="32"/>
        </w:rPr>
        <w:t xml:space="preserve"> </w:t>
      </w:r>
      <w:r w:rsidR="00642ADE" w:rsidRPr="001946FA">
        <w:rPr>
          <w:rStyle w:val="TitreCar"/>
        </w:rPr>
        <w:t>Appel à contribution</w:t>
      </w:r>
    </w:p>
    <w:p w:rsidR="009427B6" w:rsidRPr="001946FA" w:rsidRDefault="009427B6" w:rsidP="001946FA">
      <w:pPr>
        <w:pStyle w:val="NormalWeb"/>
        <w:spacing w:before="0" w:beforeAutospacing="0" w:after="0"/>
        <w:rPr>
          <w:rFonts w:asciiTheme="minorHAnsi" w:hAnsiTheme="minorHAnsi" w:cstheme="minorHAnsi"/>
        </w:rPr>
      </w:pPr>
    </w:p>
    <w:p w:rsidR="001946FA" w:rsidRPr="001946FA" w:rsidRDefault="00642ADE" w:rsidP="006568EF">
      <w:pPr>
        <w:pStyle w:val="Titre1"/>
      </w:pPr>
      <w:r w:rsidRPr="001946FA">
        <w:t xml:space="preserve">Enquêter auprès de personnes socialement démunies et engagées dans un processus de formation : quelles pratiques de recherche ? </w:t>
      </w:r>
    </w:p>
    <w:p w:rsidR="00642ADE" w:rsidRPr="001946FA" w:rsidRDefault="00642ADE" w:rsidP="001946FA">
      <w:pPr>
        <w:pStyle w:val="NormalWeb"/>
        <w:spacing w:before="0" w:beforeAutospacing="0" w:after="0"/>
        <w:jc w:val="center"/>
        <w:rPr>
          <w:rFonts w:asciiTheme="minorHAnsi" w:hAnsiTheme="minorHAnsi" w:cstheme="minorHAnsi"/>
        </w:rPr>
      </w:pPr>
    </w:p>
    <w:p w:rsidR="001946FA" w:rsidRPr="006568EF" w:rsidRDefault="001946FA" w:rsidP="00055A8F">
      <w:pPr>
        <w:pStyle w:val="Citationintense"/>
        <w:spacing w:before="0" w:after="0" w:line="240" w:lineRule="auto"/>
        <w:rPr>
          <w:rStyle w:val="Emphaseintense"/>
          <w:sz w:val="28"/>
          <w:szCs w:val="28"/>
        </w:rPr>
      </w:pPr>
      <w:r w:rsidRPr="006568EF">
        <w:rPr>
          <w:rStyle w:val="Emphaseintense"/>
          <w:sz w:val="28"/>
          <w:szCs w:val="28"/>
        </w:rPr>
        <w:t>Coordonné par :</w:t>
      </w:r>
    </w:p>
    <w:p w:rsidR="001946FA" w:rsidRPr="006568EF" w:rsidRDefault="00642ADE" w:rsidP="00055A8F">
      <w:pPr>
        <w:pStyle w:val="Citationintense"/>
        <w:spacing w:before="0" w:after="0" w:line="240" w:lineRule="auto"/>
        <w:rPr>
          <w:rStyle w:val="Emphaseintense"/>
          <w:sz w:val="28"/>
          <w:szCs w:val="28"/>
        </w:rPr>
      </w:pPr>
      <w:proofErr w:type="spellStart"/>
      <w:r w:rsidRPr="006568EF">
        <w:rPr>
          <w:rStyle w:val="Emphaseintense"/>
          <w:sz w:val="28"/>
          <w:szCs w:val="28"/>
        </w:rPr>
        <w:t>Nacira</w:t>
      </w:r>
      <w:proofErr w:type="spellEnd"/>
      <w:r w:rsidRPr="006568EF">
        <w:rPr>
          <w:rStyle w:val="Emphaseintense"/>
          <w:sz w:val="28"/>
          <w:szCs w:val="28"/>
        </w:rPr>
        <w:t xml:space="preserve"> Aït-</w:t>
      </w:r>
      <w:proofErr w:type="spellStart"/>
      <w:r w:rsidRPr="006568EF">
        <w:rPr>
          <w:rStyle w:val="Emphaseintense"/>
          <w:sz w:val="28"/>
          <w:szCs w:val="28"/>
        </w:rPr>
        <w:t>Abdesselam</w:t>
      </w:r>
      <w:proofErr w:type="spellEnd"/>
      <w:r w:rsidR="001946FA" w:rsidRPr="006568EF">
        <w:rPr>
          <w:rStyle w:val="Emphaseintense"/>
          <w:sz w:val="28"/>
          <w:szCs w:val="28"/>
        </w:rPr>
        <w:t xml:space="preserve"> (Université de Lille 1) et</w:t>
      </w:r>
    </w:p>
    <w:p w:rsidR="00642ADE" w:rsidRPr="006568EF" w:rsidRDefault="00642ADE" w:rsidP="00055A8F">
      <w:pPr>
        <w:pStyle w:val="Citationintense"/>
        <w:spacing w:before="0" w:after="0" w:line="240" w:lineRule="auto"/>
        <w:rPr>
          <w:rStyle w:val="Emphaseintense"/>
          <w:sz w:val="28"/>
          <w:szCs w:val="28"/>
        </w:rPr>
      </w:pPr>
      <w:r w:rsidRPr="006568EF">
        <w:rPr>
          <w:rStyle w:val="Emphaseintense"/>
          <w:sz w:val="28"/>
          <w:szCs w:val="28"/>
        </w:rPr>
        <w:t>Bernard Charlot (Université fédérale de Sergipe)</w:t>
      </w:r>
    </w:p>
    <w:p w:rsidR="00642ADE" w:rsidRDefault="00642ADE" w:rsidP="001946FA">
      <w:pPr>
        <w:pStyle w:val="NormalWeb"/>
        <w:spacing w:before="0" w:beforeAutospacing="0" w:after="0"/>
        <w:jc w:val="both"/>
        <w:rPr>
          <w:rFonts w:asciiTheme="minorHAnsi" w:hAnsiTheme="minorHAnsi" w:cstheme="minorHAnsi"/>
        </w:rPr>
      </w:pPr>
    </w:p>
    <w:p w:rsidR="00055A8F" w:rsidRPr="001946FA" w:rsidRDefault="00055A8F" w:rsidP="001946FA">
      <w:pPr>
        <w:pStyle w:val="NormalWeb"/>
        <w:spacing w:before="0" w:beforeAutospacing="0" w:after="0"/>
        <w:jc w:val="both"/>
        <w:rPr>
          <w:rFonts w:asciiTheme="minorHAnsi" w:hAnsiTheme="minorHAnsi" w:cstheme="minorHAnsi"/>
        </w:rPr>
      </w:pPr>
    </w:p>
    <w:p w:rsidR="00642ADE"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On sait que les conventions de l’écriture scientifique ont tendance à gommer la mention des difficultés de l’enquête et nombreuses sont les recherches qui ne décrivent pas avec précision les conditions de recueil de données. Pourtant, quel chercheur ne s’est jamais posé la question de la possibilité d’accès à son terrain d’enquête ? Le rapport au lieu de recueil de données, l’expérience de terrain, sont avant tout vécus comme</w:t>
      </w:r>
      <w:r w:rsidR="00945053">
        <w:rPr>
          <w:rFonts w:asciiTheme="minorHAnsi" w:hAnsiTheme="minorHAnsi" w:cstheme="minorHAnsi"/>
        </w:rPr>
        <w:t xml:space="preserve"> une expérience individuelle, «</w:t>
      </w:r>
      <w:r w:rsidRPr="001946FA">
        <w:rPr>
          <w:rFonts w:asciiTheme="minorHAnsi" w:hAnsiTheme="minorHAnsi" w:cstheme="minorHAnsi"/>
        </w:rPr>
        <w:t>inco</w:t>
      </w:r>
      <w:r w:rsidR="00945053">
        <w:rPr>
          <w:rFonts w:asciiTheme="minorHAnsi" w:hAnsiTheme="minorHAnsi" w:cstheme="minorHAnsi"/>
        </w:rPr>
        <w:t>mmunicable parce que singulière</w:t>
      </w:r>
      <w:r w:rsidRPr="001946FA">
        <w:rPr>
          <w:rFonts w:asciiTheme="minorHAnsi" w:hAnsiTheme="minorHAnsi" w:cstheme="minorHAnsi"/>
        </w:rPr>
        <w:t>» mais aussi parce qu’elle est le lieu de « pratiques obscures […] qui tiendraient à la fois de l’aventure et du bricolage et sur lesquelles il serait de bon ton d’obse</w:t>
      </w:r>
      <w:r w:rsidR="00EE4F04">
        <w:rPr>
          <w:rFonts w:asciiTheme="minorHAnsi" w:hAnsiTheme="minorHAnsi" w:cstheme="minorHAnsi"/>
        </w:rPr>
        <w:t>rver la plus extrême discrétion</w:t>
      </w:r>
      <w:r w:rsidRPr="001946FA">
        <w:rPr>
          <w:rFonts w:asciiTheme="minorHAnsi" w:hAnsiTheme="minorHAnsi" w:cstheme="minorHAnsi"/>
        </w:rPr>
        <w:t>» (</w:t>
      </w:r>
      <w:proofErr w:type="spellStart"/>
      <w:r w:rsidRPr="001946FA">
        <w:rPr>
          <w:rFonts w:asciiTheme="minorHAnsi" w:hAnsiTheme="minorHAnsi" w:cstheme="minorHAnsi"/>
        </w:rPr>
        <w:t>Digard</w:t>
      </w:r>
      <w:proofErr w:type="spellEnd"/>
      <w:r w:rsidRPr="001946FA">
        <w:rPr>
          <w:rFonts w:asciiTheme="minorHAnsi" w:hAnsiTheme="minorHAnsi" w:cstheme="minorHAnsi"/>
        </w:rPr>
        <w:t xml:space="preserve">, cité par </w:t>
      </w:r>
      <w:proofErr w:type="spellStart"/>
      <w:r w:rsidRPr="001946FA">
        <w:rPr>
          <w:rFonts w:asciiTheme="minorHAnsi" w:hAnsiTheme="minorHAnsi" w:cstheme="minorHAnsi"/>
        </w:rPr>
        <w:t>Mauger</w:t>
      </w:r>
      <w:proofErr w:type="spellEnd"/>
      <w:r w:rsidRPr="001946FA">
        <w:rPr>
          <w:rFonts w:asciiTheme="minorHAnsi" w:hAnsiTheme="minorHAnsi" w:cstheme="minorHAnsi"/>
        </w:rPr>
        <w:t>, 1991). Ainsi est posée la question de l’engagement de l’enquêteur, de son implication et de sa subjectivité.</w:t>
      </w:r>
    </w:p>
    <w:p w:rsidR="001946FA" w:rsidRPr="001946FA" w:rsidRDefault="001946FA" w:rsidP="001946FA">
      <w:pPr>
        <w:pStyle w:val="NormalWeb"/>
        <w:spacing w:before="0" w:beforeAutospacing="0" w:after="0"/>
        <w:jc w:val="both"/>
        <w:rPr>
          <w:rFonts w:asciiTheme="minorHAnsi" w:hAnsiTheme="minorHAnsi" w:cstheme="minorHAnsi"/>
        </w:rPr>
      </w:pPr>
    </w:p>
    <w:p w:rsidR="001946FA" w:rsidRDefault="00642ADE" w:rsidP="001946FA">
      <w:pPr>
        <w:pStyle w:val="NormalWeb"/>
        <w:shd w:val="clear" w:color="auto" w:fill="FFFFFF"/>
        <w:spacing w:before="0" w:beforeAutospacing="0" w:after="0"/>
        <w:jc w:val="both"/>
        <w:rPr>
          <w:rFonts w:asciiTheme="minorHAnsi" w:hAnsiTheme="minorHAnsi" w:cstheme="minorHAnsi"/>
        </w:rPr>
      </w:pPr>
      <w:r w:rsidRPr="001946FA">
        <w:rPr>
          <w:rFonts w:asciiTheme="minorHAnsi" w:hAnsiTheme="minorHAnsi" w:cstheme="minorHAnsi"/>
        </w:rPr>
        <w:t>Parler de neutralité impossible rejette l’idée de la toute-puissance du chercheur que rien</w:t>
      </w:r>
      <w:r w:rsidR="00945053">
        <w:rPr>
          <w:rFonts w:asciiTheme="minorHAnsi" w:hAnsiTheme="minorHAnsi" w:cstheme="minorHAnsi"/>
        </w:rPr>
        <w:t xml:space="preserve"> n’affecte. Or, lui aussi est «pris</w:t>
      </w:r>
      <w:r w:rsidRPr="001946FA">
        <w:rPr>
          <w:rFonts w:asciiTheme="minorHAnsi" w:hAnsiTheme="minorHAnsi" w:cstheme="minorHAnsi"/>
        </w:rPr>
        <w:t>» et affecté par les propos des sujets enquêtés (</w:t>
      </w:r>
      <w:proofErr w:type="spellStart"/>
      <w:r w:rsidRPr="001946FA">
        <w:rPr>
          <w:rFonts w:asciiTheme="minorHAnsi" w:hAnsiTheme="minorHAnsi" w:cstheme="minorHAnsi"/>
        </w:rPr>
        <w:t>Favret</w:t>
      </w:r>
      <w:proofErr w:type="spellEnd"/>
      <w:r w:rsidRPr="001946FA">
        <w:rPr>
          <w:rFonts w:asciiTheme="minorHAnsi" w:hAnsiTheme="minorHAnsi" w:cstheme="minorHAnsi"/>
        </w:rPr>
        <w:t xml:space="preserve"> Saada, 1977). Être impliqué produit des effets dans l’analyse des donné</w:t>
      </w:r>
      <w:r w:rsidR="00945053">
        <w:rPr>
          <w:rFonts w:asciiTheme="minorHAnsi" w:hAnsiTheme="minorHAnsi" w:cstheme="minorHAnsi"/>
        </w:rPr>
        <w:t>es et génère des déformations «</w:t>
      </w:r>
      <w:r w:rsidRPr="001946FA">
        <w:rPr>
          <w:rFonts w:asciiTheme="minorHAnsi" w:hAnsiTheme="minorHAnsi" w:cstheme="minorHAnsi"/>
        </w:rPr>
        <w:t xml:space="preserve">qui sont, non seulement techniquement mais aussi logiquement, impossibles à éliminer, toute méthodologie efficace […] doit traiter ces perturbations comme étant les données les plus significatives et les plus caractéristiques de la recherche dans cette science. </w:t>
      </w:r>
      <w:r w:rsidRPr="001946FA">
        <w:rPr>
          <w:rFonts w:asciiTheme="minorHAnsi" w:hAnsiTheme="minorHAnsi" w:cstheme="minorHAnsi"/>
        </w:rPr>
        <w:lastRenderedPageBreak/>
        <w:t>Elle doit exploiter la subjectivité inhérente à toute observation en la considérant comme la voie royale vers un objet</w:t>
      </w:r>
      <w:r w:rsidR="00EE4F04">
        <w:rPr>
          <w:rFonts w:asciiTheme="minorHAnsi" w:hAnsiTheme="minorHAnsi" w:cstheme="minorHAnsi"/>
        </w:rPr>
        <w:t xml:space="preserve"> authentique plutôt que fictive</w:t>
      </w:r>
      <w:r w:rsidRPr="001946FA">
        <w:rPr>
          <w:rFonts w:asciiTheme="minorHAnsi" w:hAnsiTheme="minorHAnsi" w:cstheme="minorHAnsi"/>
        </w:rPr>
        <w:t>» (Devereux, 1980). C'est pourquoi le chercheur se doit de reconnaître son implication et de faire un travail essentiel d'objectivation pour que les données recueillies ainsi que leur analyse ne soient pas perturbés.</w:t>
      </w:r>
      <w:r w:rsidR="00EE4F04">
        <w:rPr>
          <w:rFonts w:asciiTheme="minorHAnsi" w:hAnsiTheme="minorHAnsi" w:cstheme="minorHAnsi"/>
        </w:rPr>
        <w:t xml:space="preserve"> Comme le dit </w:t>
      </w:r>
      <w:proofErr w:type="spellStart"/>
      <w:r w:rsidR="00EE4F04">
        <w:rPr>
          <w:rFonts w:asciiTheme="minorHAnsi" w:hAnsiTheme="minorHAnsi" w:cstheme="minorHAnsi"/>
        </w:rPr>
        <w:t>Ardoino</w:t>
      </w:r>
      <w:proofErr w:type="spellEnd"/>
      <w:r w:rsidR="00EE4F04">
        <w:rPr>
          <w:rFonts w:asciiTheme="minorHAnsi" w:hAnsiTheme="minorHAnsi" w:cstheme="minorHAnsi"/>
        </w:rPr>
        <w:t xml:space="preserve"> (1991), «</w:t>
      </w:r>
      <w:r w:rsidRPr="001946FA">
        <w:rPr>
          <w:rFonts w:asciiTheme="minorHAnsi" w:hAnsiTheme="minorHAnsi" w:cstheme="minorHAnsi"/>
        </w:rPr>
        <w:t>un chercheur qui affronte la complexité, ne peut plus s’obstiner à</w:t>
      </w:r>
      <w:r w:rsidR="00EE4F04">
        <w:rPr>
          <w:rFonts w:asciiTheme="minorHAnsi" w:hAnsiTheme="minorHAnsi" w:cstheme="minorHAnsi"/>
        </w:rPr>
        <w:t xml:space="preserve"> faire semblant de s’en exclure</w:t>
      </w:r>
      <w:r w:rsidRPr="001946FA">
        <w:rPr>
          <w:rFonts w:asciiTheme="minorHAnsi" w:hAnsiTheme="minorHAnsi" w:cstheme="minorHAnsi"/>
        </w:rPr>
        <w:t xml:space="preserve">». S’envole ainsi </w:t>
      </w:r>
      <w:r w:rsidR="00EE4F04">
        <w:rPr>
          <w:rFonts w:asciiTheme="minorHAnsi" w:hAnsiTheme="minorHAnsi" w:cstheme="minorHAnsi"/>
        </w:rPr>
        <w:t>«</w:t>
      </w:r>
      <w:r w:rsidRPr="001946FA">
        <w:rPr>
          <w:rFonts w:asciiTheme="minorHAnsi" w:hAnsiTheme="minorHAnsi" w:cstheme="minorHAnsi"/>
        </w:rPr>
        <w:t>le rêve positiviste d’une par</w:t>
      </w:r>
      <w:r w:rsidR="00EE4F04">
        <w:rPr>
          <w:rFonts w:asciiTheme="minorHAnsi" w:hAnsiTheme="minorHAnsi" w:cstheme="minorHAnsi"/>
        </w:rPr>
        <w:t>faite innocence épistémologique</w:t>
      </w:r>
      <w:r w:rsidRPr="001946FA">
        <w:rPr>
          <w:rFonts w:asciiTheme="minorHAnsi" w:hAnsiTheme="minorHAnsi" w:cstheme="minorHAnsi"/>
        </w:rPr>
        <w:t>» (Bourdieu, 1993).</w:t>
      </w:r>
    </w:p>
    <w:p w:rsidR="001946FA" w:rsidRPr="001946FA" w:rsidRDefault="001946FA" w:rsidP="001946FA">
      <w:pPr>
        <w:pStyle w:val="NormalWeb"/>
        <w:shd w:val="clear" w:color="auto" w:fill="FFFFFF"/>
        <w:spacing w:before="0" w:beforeAutospacing="0" w:after="0"/>
        <w:jc w:val="both"/>
        <w:rPr>
          <w:rFonts w:asciiTheme="minorHAnsi" w:hAnsiTheme="minorHAnsi" w:cstheme="minorHAnsi"/>
        </w:rPr>
      </w:pP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Notre projet éditorial a pour parti-pris de considérer que le chercheur peut être « pris » par son objet ; et c’est justement de cela dont il sera ici question. </w:t>
      </w:r>
    </w:p>
    <w:p w:rsidR="001946FA"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Les propositions de contribution à ce numéro auront toutes trait à des travaux de recherche menées auprès de personnes issues des catégories sociales les plus démunies, engagées ou ayant été engagées dans un processus de formation. </w:t>
      </w:r>
    </w:p>
    <w:p w:rsidR="00642ADE"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Il s’agira de recueillir, à partir d’expériences de terrain de chercheurs confirmés ou en devenir, des réflexions sur les pratiques de recherche menées auprès de ceux qui sont les plus</w:t>
      </w:r>
      <w:r w:rsidR="00EE4F04">
        <w:rPr>
          <w:rFonts w:asciiTheme="minorHAnsi" w:hAnsiTheme="minorHAnsi" w:cstheme="minorHAnsi"/>
        </w:rPr>
        <w:t xml:space="preserve"> vulnérables socialement, les «</w:t>
      </w:r>
      <w:r w:rsidRPr="001946FA">
        <w:rPr>
          <w:rFonts w:asciiTheme="minorHAnsi" w:hAnsiTheme="minorHAnsi" w:cstheme="minorHAnsi"/>
        </w:rPr>
        <w:t>désaffiliés</w:t>
      </w:r>
      <w:r w:rsidR="00EE4F04">
        <w:rPr>
          <w:rFonts w:asciiTheme="minorHAnsi" w:hAnsiTheme="minorHAnsi" w:cstheme="minorHAnsi"/>
        </w:rPr>
        <w:t>» (Castel, 1990) «</w:t>
      </w:r>
      <w:r w:rsidRPr="001946FA">
        <w:rPr>
          <w:rFonts w:asciiTheme="minorHAnsi" w:hAnsiTheme="minorHAnsi" w:cstheme="minorHAnsi"/>
        </w:rPr>
        <w:t>les inemployables» (</w:t>
      </w:r>
      <w:proofErr w:type="spellStart"/>
      <w:r w:rsidRPr="001946FA">
        <w:rPr>
          <w:rFonts w:asciiTheme="minorHAnsi" w:hAnsiTheme="minorHAnsi" w:cstheme="minorHAnsi"/>
        </w:rPr>
        <w:t>Ebersold</w:t>
      </w:r>
      <w:proofErr w:type="spellEnd"/>
      <w:r w:rsidRPr="001946FA">
        <w:rPr>
          <w:rFonts w:asciiTheme="minorHAnsi" w:hAnsiTheme="minorHAnsi" w:cstheme="minorHAnsi"/>
        </w:rPr>
        <w:t xml:space="preserve">, 2001), ceux </w:t>
      </w:r>
      <w:r w:rsidR="00EE4F04">
        <w:rPr>
          <w:rFonts w:asciiTheme="minorHAnsi" w:hAnsiTheme="minorHAnsi" w:cstheme="minorHAnsi"/>
        </w:rPr>
        <w:t>qui «</w:t>
      </w:r>
      <w:r w:rsidRPr="001946FA">
        <w:rPr>
          <w:rFonts w:asciiTheme="minorHAnsi" w:hAnsiTheme="minorHAnsi" w:cstheme="minorHAnsi"/>
        </w:rPr>
        <w:t>se définissent d’abord par les pannes de leur existence» (</w:t>
      </w:r>
      <w:proofErr w:type="spellStart"/>
      <w:r w:rsidRPr="001946FA">
        <w:rPr>
          <w:rFonts w:asciiTheme="minorHAnsi" w:hAnsiTheme="minorHAnsi" w:cstheme="minorHAnsi"/>
        </w:rPr>
        <w:t>Rosanvallon</w:t>
      </w:r>
      <w:proofErr w:type="spellEnd"/>
      <w:r w:rsidRPr="001946FA">
        <w:rPr>
          <w:rFonts w:asciiTheme="minorHAnsi" w:hAnsiTheme="minorHAnsi" w:cstheme="minorHAnsi"/>
        </w:rPr>
        <w:t>, 1995).</w:t>
      </w:r>
    </w:p>
    <w:p w:rsidR="001946FA" w:rsidRPr="001946FA" w:rsidRDefault="001946FA" w:rsidP="001946FA">
      <w:pPr>
        <w:pStyle w:val="NormalWeb"/>
        <w:spacing w:before="0" w:beforeAutospacing="0" w:after="0"/>
        <w:jc w:val="both"/>
        <w:rPr>
          <w:rFonts w:asciiTheme="minorHAnsi" w:hAnsiTheme="minorHAnsi" w:cstheme="minorHAnsi"/>
        </w:rPr>
      </w:pPr>
    </w:p>
    <w:p w:rsidR="00642ADE" w:rsidRDefault="00642ADE" w:rsidP="001946FA">
      <w:pPr>
        <w:pStyle w:val="NormalWeb"/>
        <w:shd w:val="clear" w:color="auto" w:fill="FFFFFF"/>
        <w:spacing w:before="0" w:beforeAutospacing="0" w:after="0"/>
        <w:jc w:val="both"/>
        <w:rPr>
          <w:rFonts w:asciiTheme="minorHAnsi" w:hAnsiTheme="minorHAnsi" w:cstheme="minorHAnsi"/>
        </w:rPr>
      </w:pPr>
      <w:r w:rsidRPr="001946FA">
        <w:rPr>
          <w:rFonts w:asciiTheme="minorHAnsi" w:hAnsiTheme="minorHAnsi" w:cstheme="minorHAnsi"/>
        </w:rPr>
        <w:t>Les contributeurs rendront compte de la manière avec laquelle ont été conduites leurs enquêtes : travail préparatoire, contact avec les intermédiaires, modalités d’échanges, place laissée à la parole des démunis, gestion des situations d’inégalité sociale dans la relation entre l’intervieweur et l’interviewé, modalités d’interroga</w:t>
      </w:r>
      <w:r w:rsidR="00EE4F04">
        <w:rPr>
          <w:rFonts w:asciiTheme="minorHAnsi" w:hAnsiTheme="minorHAnsi" w:cstheme="minorHAnsi"/>
        </w:rPr>
        <w:t>tion de personnes relevant de «</w:t>
      </w:r>
      <w:r w:rsidRPr="001946FA">
        <w:rPr>
          <w:rFonts w:asciiTheme="minorHAnsi" w:hAnsiTheme="minorHAnsi" w:cstheme="minorHAnsi"/>
        </w:rPr>
        <w:t>l’urgence de survie qu</w:t>
      </w:r>
      <w:r w:rsidR="00EE4F04">
        <w:rPr>
          <w:rFonts w:asciiTheme="minorHAnsi" w:hAnsiTheme="minorHAnsi" w:cstheme="minorHAnsi"/>
        </w:rPr>
        <w:t>i est la base même du quotidien</w:t>
      </w:r>
      <w:r w:rsidRPr="001946FA">
        <w:rPr>
          <w:rFonts w:asciiTheme="minorHAnsi" w:hAnsiTheme="minorHAnsi" w:cstheme="minorHAnsi"/>
        </w:rPr>
        <w:t>» (</w:t>
      </w:r>
      <w:proofErr w:type="spellStart"/>
      <w:r w:rsidRPr="001946FA">
        <w:rPr>
          <w:rFonts w:asciiTheme="minorHAnsi" w:hAnsiTheme="minorHAnsi" w:cstheme="minorHAnsi"/>
        </w:rPr>
        <w:t>Bruneteaux</w:t>
      </w:r>
      <w:proofErr w:type="spellEnd"/>
      <w:r w:rsidRPr="001946FA">
        <w:rPr>
          <w:rFonts w:asciiTheme="minorHAnsi" w:hAnsiTheme="minorHAnsi" w:cstheme="minorHAnsi"/>
        </w:rPr>
        <w:t xml:space="preserve">, 1998). </w:t>
      </w:r>
    </w:p>
    <w:p w:rsidR="00763F5D" w:rsidRPr="001946FA" w:rsidRDefault="00763F5D" w:rsidP="001946FA">
      <w:pPr>
        <w:pStyle w:val="NormalWeb"/>
        <w:shd w:val="clear" w:color="auto" w:fill="FFFFFF"/>
        <w:spacing w:before="0" w:beforeAutospacing="0" w:after="0"/>
        <w:jc w:val="both"/>
        <w:rPr>
          <w:rFonts w:asciiTheme="minorHAnsi" w:hAnsiTheme="minorHAnsi" w:cstheme="minorHAnsi"/>
        </w:rPr>
      </w:pPr>
    </w:p>
    <w:p w:rsidR="00642ADE" w:rsidRDefault="00642ADE" w:rsidP="001946FA">
      <w:pPr>
        <w:pStyle w:val="NormalWeb"/>
        <w:shd w:val="clear" w:color="auto" w:fill="FFFFFF"/>
        <w:spacing w:before="0" w:beforeAutospacing="0" w:after="0"/>
        <w:jc w:val="both"/>
        <w:rPr>
          <w:rFonts w:asciiTheme="minorHAnsi" w:hAnsiTheme="minorHAnsi" w:cstheme="minorHAnsi"/>
        </w:rPr>
      </w:pPr>
      <w:r w:rsidRPr="001946FA">
        <w:rPr>
          <w:rFonts w:asciiTheme="minorHAnsi" w:hAnsiTheme="minorHAnsi" w:cstheme="minorHAnsi"/>
        </w:rPr>
        <w:t xml:space="preserve">Enquêter auprès des plus faibles </w:t>
      </w:r>
      <w:r w:rsidR="001946FA" w:rsidRPr="001946FA">
        <w:rPr>
          <w:rFonts w:asciiTheme="minorHAnsi" w:hAnsiTheme="minorHAnsi" w:cstheme="minorHAnsi"/>
        </w:rPr>
        <w:t>nécessite-t</w:t>
      </w:r>
      <w:r w:rsidRPr="001946FA">
        <w:rPr>
          <w:rFonts w:asciiTheme="minorHAnsi" w:hAnsiTheme="minorHAnsi" w:cstheme="minorHAnsi"/>
        </w:rPr>
        <w:t xml:space="preserve">-il de recourir à des approches méthodologiques spécifiques ? Quelle place laissée aux émotions du chercheur ? Comment les </w:t>
      </w:r>
      <w:r w:rsidR="001946FA" w:rsidRPr="001946FA">
        <w:rPr>
          <w:rFonts w:asciiTheme="minorHAnsi" w:hAnsiTheme="minorHAnsi" w:cstheme="minorHAnsi"/>
        </w:rPr>
        <w:t>gère-t</w:t>
      </w:r>
      <w:r w:rsidRPr="001946FA">
        <w:rPr>
          <w:rFonts w:asciiTheme="minorHAnsi" w:hAnsiTheme="minorHAnsi" w:cstheme="minorHAnsi"/>
        </w:rPr>
        <w:t>-il ? Quelles sont les incidences sur l’interprétation des données et sur les connaissances produites ? Consentir à aborder la manière dont le chercheur inves</w:t>
      </w:r>
      <w:r w:rsidR="00EE4F04">
        <w:rPr>
          <w:rFonts w:asciiTheme="minorHAnsi" w:hAnsiTheme="minorHAnsi" w:cstheme="minorHAnsi"/>
        </w:rPr>
        <w:t>tit son terrain de recherche, «</w:t>
      </w:r>
      <w:r w:rsidRPr="001946FA">
        <w:rPr>
          <w:rFonts w:asciiTheme="minorHAnsi" w:hAnsiTheme="minorHAnsi" w:cstheme="minorHAnsi"/>
        </w:rPr>
        <w:t xml:space="preserve">percer la subjectivité du chercheur, dévoiler son impossibilité d’être </w:t>
      </w:r>
      <w:r w:rsidR="001946FA" w:rsidRPr="001946FA">
        <w:rPr>
          <w:rFonts w:asciiTheme="minorHAnsi" w:hAnsiTheme="minorHAnsi" w:cstheme="minorHAnsi"/>
        </w:rPr>
        <w:t>au-dessus</w:t>
      </w:r>
      <w:r w:rsidRPr="001946FA">
        <w:rPr>
          <w:rFonts w:asciiTheme="minorHAnsi" w:hAnsiTheme="minorHAnsi" w:cstheme="minorHAnsi"/>
        </w:rPr>
        <w:t xml:space="preserve"> des autres,</w:t>
      </w:r>
      <w:r w:rsidR="00EE4F04">
        <w:rPr>
          <w:rFonts w:asciiTheme="minorHAnsi" w:hAnsiTheme="minorHAnsi" w:cstheme="minorHAnsi"/>
        </w:rPr>
        <w:t xml:space="preserve"> prisonnier […] de ses émotions</w:t>
      </w:r>
      <w:r w:rsidRPr="001946FA">
        <w:rPr>
          <w:rFonts w:asciiTheme="minorHAnsi" w:hAnsiTheme="minorHAnsi" w:cstheme="minorHAnsi"/>
        </w:rPr>
        <w:t>»  (</w:t>
      </w:r>
      <w:proofErr w:type="spellStart"/>
      <w:r w:rsidRPr="001946FA">
        <w:rPr>
          <w:rFonts w:asciiTheme="minorHAnsi" w:hAnsiTheme="minorHAnsi" w:cstheme="minorHAnsi"/>
        </w:rPr>
        <w:t>Bruneteaux</w:t>
      </w:r>
      <w:proofErr w:type="spellEnd"/>
      <w:r w:rsidRPr="001946FA">
        <w:rPr>
          <w:rFonts w:asciiTheme="minorHAnsi" w:hAnsiTheme="minorHAnsi" w:cstheme="minorHAnsi"/>
        </w:rPr>
        <w:t>, 2011), suppose d’accepter de mettre au jour ses propres faiblesses au service de la compréhension de son propre objet d’analyse.</w:t>
      </w:r>
    </w:p>
    <w:p w:rsidR="001946FA" w:rsidRPr="001946FA" w:rsidRDefault="001946FA" w:rsidP="001946FA">
      <w:pPr>
        <w:pStyle w:val="NormalWeb"/>
        <w:shd w:val="clear" w:color="auto" w:fill="FFFFFF"/>
        <w:spacing w:before="0" w:beforeAutospacing="0" w:after="0"/>
        <w:jc w:val="both"/>
        <w:rPr>
          <w:rFonts w:asciiTheme="minorHAnsi" w:hAnsiTheme="minorHAnsi" w:cstheme="minorHAnsi"/>
        </w:rPr>
      </w:pPr>
    </w:p>
    <w:p w:rsidR="00055A8F" w:rsidRDefault="00642ADE" w:rsidP="00055A8F">
      <w:pPr>
        <w:pStyle w:val="NormalWeb"/>
        <w:shd w:val="clear" w:color="auto" w:fill="FFFFFF"/>
        <w:spacing w:before="0" w:beforeAutospacing="0" w:after="0"/>
        <w:jc w:val="both"/>
        <w:rPr>
          <w:rFonts w:asciiTheme="minorHAnsi" w:hAnsiTheme="minorHAnsi" w:cstheme="minorHAnsi"/>
        </w:rPr>
      </w:pPr>
      <w:r w:rsidRPr="001946FA">
        <w:rPr>
          <w:rFonts w:asciiTheme="minorHAnsi" w:hAnsiTheme="minorHAnsi" w:cstheme="minorHAnsi"/>
        </w:rPr>
        <w:t>Nous souhaitons que ce numéro donne à voir une diversité de terrains d’enquêtes en privilégiant le champ de la formation d’adultes. Il accueillera favorablement des contributions qui font état d’une immersion longue dans le terrain étudié. </w:t>
      </w:r>
    </w:p>
    <w:p w:rsidR="00055A8F" w:rsidRDefault="00055A8F" w:rsidP="00055A8F">
      <w:pPr>
        <w:pStyle w:val="NormalWeb"/>
        <w:shd w:val="clear" w:color="auto" w:fill="FFFFFF"/>
        <w:spacing w:before="0" w:beforeAutospacing="0" w:after="0"/>
        <w:jc w:val="both"/>
        <w:rPr>
          <w:rFonts w:asciiTheme="minorHAnsi" w:hAnsiTheme="minorHAnsi" w:cstheme="minorHAnsi"/>
        </w:rPr>
      </w:pPr>
    </w:p>
    <w:p w:rsidR="009241AE" w:rsidRDefault="009241AE" w:rsidP="00055A8F">
      <w:pPr>
        <w:pStyle w:val="NormalWeb"/>
        <w:shd w:val="clear" w:color="auto" w:fill="FFFFFF"/>
        <w:spacing w:before="0" w:beforeAutospacing="0" w:after="0"/>
        <w:jc w:val="both"/>
        <w:rPr>
          <w:rFonts w:asciiTheme="minorHAnsi" w:hAnsiTheme="minorHAnsi" w:cstheme="minorHAnsi"/>
        </w:rPr>
      </w:pPr>
    </w:p>
    <w:p w:rsidR="009241AE" w:rsidRDefault="009241AE" w:rsidP="00055A8F">
      <w:pPr>
        <w:pStyle w:val="NormalWeb"/>
        <w:shd w:val="clear" w:color="auto" w:fill="FFFFFF"/>
        <w:spacing w:before="0" w:beforeAutospacing="0" w:after="0"/>
        <w:jc w:val="both"/>
        <w:rPr>
          <w:rFonts w:asciiTheme="minorHAnsi" w:hAnsiTheme="minorHAnsi" w:cstheme="minorHAnsi"/>
        </w:rPr>
      </w:pPr>
    </w:p>
    <w:p w:rsidR="009241AE" w:rsidRDefault="009241AE" w:rsidP="00055A8F">
      <w:pPr>
        <w:pStyle w:val="NormalWeb"/>
        <w:shd w:val="clear" w:color="auto" w:fill="FFFFFF"/>
        <w:spacing w:before="0" w:beforeAutospacing="0" w:after="0"/>
        <w:jc w:val="both"/>
        <w:rPr>
          <w:rFonts w:asciiTheme="minorHAnsi" w:hAnsiTheme="minorHAnsi" w:cstheme="minorHAnsi"/>
        </w:rPr>
      </w:pPr>
    </w:p>
    <w:p w:rsidR="009241AE" w:rsidRPr="001946FA" w:rsidRDefault="009241AE" w:rsidP="00055A8F">
      <w:pPr>
        <w:pStyle w:val="NormalWeb"/>
        <w:shd w:val="clear" w:color="auto" w:fill="FFFFFF"/>
        <w:spacing w:before="0" w:beforeAutospacing="0" w:after="0"/>
        <w:jc w:val="both"/>
        <w:rPr>
          <w:rFonts w:asciiTheme="minorHAnsi" w:hAnsiTheme="minorHAnsi" w:cstheme="minorHAnsi"/>
        </w:rPr>
      </w:pPr>
    </w:p>
    <w:p w:rsidR="00642ADE" w:rsidRPr="001946FA" w:rsidRDefault="00642ADE" w:rsidP="00055A8F">
      <w:pPr>
        <w:pStyle w:val="Citationintense"/>
      </w:pPr>
      <w:r w:rsidRPr="001946FA">
        <w:lastRenderedPageBreak/>
        <w:t>Modalités de soumission des contributions</w:t>
      </w:r>
    </w:p>
    <w:p w:rsidR="00217C58" w:rsidRDefault="00217C58" w:rsidP="001946FA">
      <w:pPr>
        <w:pStyle w:val="NormalWeb"/>
        <w:spacing w:before="0" w:beforeAutospacing="0" w:after="0"/>
        <w:jc w:val="both"/>
        <w:rPr>
          <w:rFonts w:asciiTheme="minorHAnsi" w:hAnsiTheme="minorHAnsi" w:cstheme="minorHAnsi"/>
        </w:rPr>
      </w:pP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CALENDRIER pour TF n°10</w:t>
      </w:r>
    </w:p>
    <w:p w:rsidR="00642ADE" w:rsidRPr="001946FA" w:rsidRDefault="00642ADE" w:rsidP="001946FA">
      <w:pPr>
        <w:pStyle w:val="NormalWeb"/>
        <w:numPr>
          <w:ilvl w:val="0"/>
          <w:numId w:val="1"/>
        </w:numPr>
        <w:spacing w:before="0" w:beforeAutospacing="0" w:after="0"/>
        <w:jc w:val="both"/>
        <w:rPr>
          <w:rFonts w:asciiTheme="minorHAnsi" w:hAnsiTheme="minorHAnsi" w:cstheme="minorHAnsi"/>
        </w:rPr>
      </w:pPr>
      <w:r w:rsidRPr="001946FA">
        <w:rPr>
          <w:rFonts w:asciiTheme="minorHAnsi" w:hAnsiTheme="minorHAnsi" w:cstheme="minorHAnsi"/>
        </w:rPr>
        <w:t xml:space="preserve">Les propositions d’articles devront nous parvenir pour le 15 septembre 2012 sous forme d’un résumé du projet d’article de deux pages maximum. Elles seront envoyées à </w:t>
      </w:r>
      <w:hyperlink r:id="rId9" w:history="1">
        <w:r w:rsidRPr="001946FA">
          <w:rPr>
            <w:rStyle w:val="Lienhypertexte"/>
            <w:rFonts w:asciiTheme="minorHAnsi" w:hAnsiTheme="minorHAnsi" w:cstheme="minorHAnsi"/>
          </w:rPr>
          <w:t>cueep-revue-transformations@univ-lille1.fr</w:t>
        </w:r>
      </w:hyperlink>
      <w:bookmarkStart w:id="0" w:name="_GoBack"/>
      <w:bookmarkEnd w:id="0"/>
    </w:p>
    <w:p w:rsidR="00642ADE" w:rsidRPr="001946FA" w:rsidRDefault="00642ADE" w:rsidP="001946FA">
      <w:pPr>
        <w:pStyle w:val="NormalWeb"/>
        <w:numPr>
          <w:ilvl w:val="0"/>
          <w:numId w:val="1"/>
        </w:numPr>
        <w:spacing w:before="0" w:beforeAutospacing="0" w:after="0"/>
        <w:jc w:val="both"/>
        <w:rPr>
          <w:rFonts w:asciiTheme="minorHAnsi" w:hAnsiTheme="minorHAnsi" w:cstheme="minorHAnsi"/>
        </w:rPr>
      </w:pPr>
      <w:r w:rsidRPr="001946FA">
        <w:rPr>
          <w:rFonts w:asciiTheme="minorHAnsi" w:hAnsiTheme="minorHAnsi" w:cstheme="minorHAnsi"/>
        </w:rPr>
        <w:t xml:space="preserve">Les textes définitifs seront à remettre le 15 mars 2013 pour expertise. </w:t>
      </w:r>
    </w:p>
    <w:p w:rsidR="00642ADE" w:rsidRPr="001946FA" w:rsidRDefault="00642ADE" w:rsidP="001946FA">
      <w:pPr>
        <w:pStyle w:val="NormalWeb"/>
        <w:numPr>
          <w:ilvl w:val="0"/>
          <w:numId w:val="1"/>
        </w:numPr>
        <w:spacing w:before="0" w:beforeAutospacing="0" w:after="0"/>
        <w:jc w:val="both"/>
        <w:rPr>
          <w:rFonts w:asciiTheme="minorHAnsi" w:hAnsiTheme="minorHAnsi" w:cstheme="minorHAnsi"/>
        </w:rPr>
      </w:pPr>
      <w:r w:rsidRPr="001946FA">
        <w:rPr>
          <w:rFonts w:asciiTheme="minorHAnsi" w:hAnsiTheme="minorHAnsi" w:cstheme="minorHAnsi"/>
        </w:rPr>
        <w:t xml:space="preserve">Les auteurs auront jusqu'au 30 </w:t>
      </w:r>
      <w:r w:rsidR="00F54449">
        <w:rPr>
          <w:rFonts w:asciiTheme="minorHAnsi" w:hAnsiTheme="minorHAnsi" w:cstheme="minorHAnsi"/>
        </w:rPr>
        <w:t>août</w:t>
      </w:r>
      <w:r w:rsidRPr="001946FA">
        <w:rPr>
          <w:rFonts w:asciiTheme="minorHAnsi" w:hAnsiTheme="minorHAnsi" w:cstheme="minorHAnsi"/>
        </w:rPr>
        <w:t xml:space="preserve"> 2013 pour procéder aux corrections demandées.</w:t>
      </w:r>
    </w:p>
    <w:p w:rsidR="00055A8F" w:rsidRDefault="00642ADE" w:rsidP="00055A8F">
      <w:pPr>
        <w:pStyle w:val="NormalWeb"/>
        <w:numPr>
          <w:ilvl w:val="0"/>
          <w:numId w:val="1"/>
        </w:numPr>
        <w:spacing w:before="0" w:beforeAutospacing="0" w:after="0"/>
        <w:jc w:val="both"/>
        <w:rPr>
          <w:rFonts w:asciiTheme="minorHAnsi" w:hAnsiTheme="minorHAnsi" w:cstheme="minorHAnsi"/>
        </w:rPr>
      </w:pPr>
      <w:r w:rsidRPr="001946FA">
        <w:rPr>
          <w:rFonts w:asciiTheme="minorHAnsi" w:hAnsiTheme="minorHAnsi" w:cstheme="minorHAnsi"/>
        </w:rPr>
        <w:t>La parution du numéro est prévue en décembre 2013</w:t>
      </w:r>
      <w:r w:rsidR="00F54449">
        <w:rPr>
          <w:rFonts w:asciiTheme="minorHAnsi" w:hAnsiTheme="minorHAnsi" w:cstheme="minorHAnsi"/>
        </w:rPr>
        <w:t>.</w:t>
      </w:r>
    </w:p>
    <w:p w:rsidR="009241AE" w:rsidRPr="009241AE" w:rsidRDefault="009241AE" w:rsidP="009241AE">
      <w:pPr>
        <w:pStyle w:val="NormalWeb"/>
        <w:spacing w:before="0" w:beforeAutospacing="0" w:after="0"/>
        <w:ind w:left="360"/>
        <w:jc w:val="both"/>
        <w:rPr>
          <w:rFonts w:asciiTheme="minorHAnsi" w:hAnsiTheme="minorHAnsi" w:cstheme="minorHAnsi"/>
        </w:rPr>
      </w:pPr>
    </w:p>
    <w:p w:rsidR="00055A8F" w:rsidRPr="001946FA" w:rsidRDefault="00055A8F" w:rsidP="00055A8F">
      <w:pPr>
        <w:pStyle w:val="NormalWeb"/>
        <w:spacing w:before="0" w:beforeAutospacing="0" w:after="0"/>
        <w:jc w:val="both"/>
        <w:rPr>
          <w:rFonts w:asciiTheme="minorHAnsi" w:hAnsiTheme="minorHAnsi" w:cstheme="minorHAnsi"/>
        </w:rPr>
      </w:pPr>
    </w:p>
    <w:p w:rsidR="00642ADE" w:rsidRPr="001946FA" w:rsidRDefault="00642ADE" w:rsidP="00055A8F">
      <w:pPr>
        <w:pStyle w:val="Citationintense"/>
      </w:pPr>
      <w:r w:rsidRPr="001946FA">
        <w:t xml:space="preserve">Bibliographie </w:t>
      </w:r>
    </w:p>
    <w:p w:rsidR="00217C58" w:rsidRDefault="00217C58" w:rsidP="001946FA">
      <w:pPr>
        <w:pStyle w:val="NormalWeb"/>
        <w:spacing w:before="0" w:beforeAutospacing="0" w:after="0"/>
        <w:jc w:val="both"/>
        <w:rPr>
          <w:rFonts w:asciiTheme="minorHAnsi" w:hAnsiTheme="minorHAnsi" w:cstheme="minorHAnsi"/>
        </w:rPr>
      </w:pP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J. </w:t>
      </w:r>
      <w:proofErr w:type="spellStart"/>
      <w:r w:rsidRPr="001946FA">
        <w:rPr>
          <w:rFonts w:asciiTheme="minorHAnsi" w:hAnsiTheme="minorHAnsi" w:cstheme="minorHAnsi"/>
        </w:rPr>
        <w:t>Ardoino</w:t>
      </w:r>
      <w:proofErr w:type="spellEnd"/>
      <w:r w:rsidRPr="001946FA">
        <w:rPr>
          <w:rFonts w:asciiTheme="minorHAnsi" w:hAnsiTheme="minorHAnsi" w:cstheme="minorHAnsi"/>
        </w:rPr>
        <w:t xml:space="preserve"> (1991), </w:t>
      </w:r>
      <w:r w:rsidRPr="001946FA">
        <w:rPr>
          <w:rFonts w:asciiTheme="minorHAnsi" w:hAnsiTheme="minorHAnsi" w:cstheme="minorHAnsi"/>
          <w:i/>
          <w:iCs/>
        </w:rPr>
        <w:t>L'implication</w:t>
      </w:r>
      <w:r w:rsidRPr="001946FA">
        <w:rPr>
          <w:rFonts w:asciiTheme="minorHAnsi" w:hAnsiTheme="minorHAnsi" w:cstheme="minorHAnsi"/>
        </w:rPr>
        <w:t xml:space="preserve">, Voies livres. </w:t>
      </w: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P. Bourdieu (1993), </w:t>
      </w:r>
      <w:r w:rsidRPr="001946FA">
        <w:rPr>
          <w:rFonts w:asciiTheme="minorHAnsi" w:hAnsiTheme="minorHAnsi" w:cstheme="minorHAnsi"/>
          <w:i/>
          <w:iCs/>
        </w:rPr>
        <w:t>La misère du monde</w:t>
      </w:r>
      <w:r w:rsidRPr="001946FA">
        <w:rPr>
          <w:rFonts w:asciiTheme="minorHAnsi" w:hAnsiTheme="minorHAnsi" w:cstheme="minorHAnsi"/>
        </w:rPr>
        <w:t>, Editions du seuil</w:t>
      </w:r>
      <w:r w:rsidR="00E82775">
        <w:rPr>
          <w:rFonts w:asciiTheme="minorHAnsi" w:hAnsiTheme="minorHAnsi" w:cstheme="minorHAnsi"/>
        </w:rPr>
        <w:t>.</w:t>
      </w: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P. </w:t>
      </w:r>
      <w:proofErr w:type="spellStart"/>
      <w:r w:rsidRPr="001946FA">
        <w:rPr>
          <w:rFonts w:asciiTheme="minorHAnsi" w:hAnsiTheme="minorHAnsi" w:cstheme="minorHAnsi"/>
        </w:rPr>
        <w:t>Bruneteaux</w:t>
      </w:r>
      <w:proofErr w:type="spellEnd"/>
      <w:r w:rsidRPr="001946FA">
        <w:rPr>
          <w:rFonts w:asciiTheme="minorHAnsi" w:hAnsiTheme="minorHAnsi" w:cstheme="minorHAnsi"/>
        </w:rPr>
        <w:t xml:space="preserve">, C. </w:t>
      </w:r>
      <w:proofErr w:type="spellStart"/>
      <w:r w:rsidRPr="001946FA">
        <w:rPr>
          <w:rFonts w:asciiTheme="minorHAnsi" w:hAnsiTheme="minorHAnsi" w:cstheme="minorHAnsi"/>
        </w:rPr>
        <w:t>Lanzarini</w:t>
      </w:r>
      <w:proofErr w:type="spellEnd"/>
      <w:r w:rsidRPr="001946FA">
        <w:rPr>
          <w:rFonts w:asciiTheme="minorHAnsi" w:hAnsiTheme="minorHAnsi" w:cstheme="minorHAnsi"/>
        </w:rPr>
        <w:t xml:space="preserve"> (1998), </w:t>
      </w:r>
      <w:r w:rsidRPr="001946FA">
        <w:rPr>
          <w:rFonts w:asciiTheme="minorHAnsi" w:hAnsiTheme="minorHAnsi" w:cstheme="minorHAnsi"/>
          <w:i/>
          <w:iCs/>
        </w:rPr>
        <w:t>Les entretiens informels</w:t>
      </w:r>
      <w:r w:rsidRPr="001946FA">
        <w:rPr>
          <w:rFonts w:asciiTheme="minorHAnsi" w:hAnsiTheme="minorHAnsi" w:cstheme="minorHAnsi"/>
        </w:rPr>
        <w:t>, Sociétés Contemporaines, n°30.</w:t>
      </w: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P. </w:t>
      </w:r>
      <w:proofErr w:type="spellStart"/>
      <w:r w:rsidRPr="001946FA">
        <w:rPr>
          <w:rFonts w:asciiTheme="minorHAnsi" w:hAnsiTheme="minorHAnsi" w:cstheme="minorHAnsi"/>
        </w:rPr>
        <w:t>Bruneteaux</w:t>
      </w:r>
      <w:proofErr w:type="spellEnd"/>
      <w:r w:rsidRPr="001946FA">
        <w:rPr>
          <w:rFonts w:asciiTheme="minorHAnsi" w:hAnsiTheme="minorHAnsi" w:cstheme="minorHAnsi"/>
        </w:rPr>
        <w:t xml:space="preserve"> (2011), </w:t>
      </w:r>
      <w:r w:rsidRPr="001946FA">
        <w:rPr>
          <w:rFonts w:asciiTheme="minorHAnsi" w:hAnsiTheme="minorHAnsi" w:cstheme="minorHAnsi"/>
          <w:i/>
          <w:iCs/>
        </w:rPr>
        <w:t xml:space="preserve">Compte-rendu du livre "La relation d’enquête. La sociologie au défi des acteurs faibles" de Jean-Paul </w:t>
      </w:r>
      <w:proofErr w:type="spellStart"/>
      <w:r w:rsidRPr="001946FA">
        <w:rPr>
          <w:rFonts w:asciiTheme="minorHAnsi" w:hAnsiTheme="minorHAnsi" w:cstheme="minorHAnsi"/>
          <w:i/>
          <w:iCs/>
        </w:rPr>
        <w:t>Payet</w:t>
      </w:r>
      <w:proofErr w:type="spellEnd"/>
      <w:r w:rsidRPr="001946FA">
        <w:rPr>
          <w:rFonts w:asciiTheme="minorHAnsi" w:hAnsiTheme="minorHAnsi" w:cstheme="minorHAnsi"/>
          <w:i/>
          <w:iCs/>
        </w:rPr>
        <w:t xml:space="preserve">, Corinne </w:t>
      </w:r>
      <w:proofErr w:type="spellStart"/>
      <w:r w:rsidRPr="001946FA">
        <w:rPr>
          <w:rFonts w:asciiTheme="minorHAnsi" w:hAnsiTheme="minorHAnsi" w:cstheme="minorHAnsi"/>
          <w:i/>
          <w:iCs/>
        </w:rPr>
        <w:t>Rostaing</w:t>
      </w:r>
      <w:proofErr w:type="spellEnd"/>
      <w:r w:rsidRPr="001946FA">
        <w:rPr>
          <w:rFonts w:asciiTheme="minorHAnsi" w:hAnsiTheme="minorHAnsi" w:cstheme="minorHAnsi"/>
          <w:i/>
          <w:iCs/>
        </w:rPr>
        <w:t xml:space="preserve"> &amp; Frédérique </w:t>
      </w:r>
      <w:proofErr w:type="spellStart"/>
      <w:r w:rsidRPr="001946FA">
        <w:rPr>
          <w:rFonts w:asciiTheme="minorHAnsi" w:hAnsiTheme="minorHAnsi" w:cstheme="minorHAnsi"/>
          <w:i/>
          <w:iCs/>
        </w:rPr>
        <w:t>Giuliani</w:t>
      </w:r>
      <w:proofErr w:type="spellEnd"/>
      <w:r w:rsidRPr="001946FA">
        <w:rPr>
          <w:rFonts w:asciiTheme="minorHAnsi" w:hAnsiTheme="minorHAnsi" w:cstheme="minorHAnsi"/>
          <w:i/>
          <w:iCs/>
        </w:rPr>
        <w:t xml:space="preserve"> (PUR, 2010)."</w:t>
      </w:r>
      <w:r w:rsidRPr="001946FA">
        <w:rPr>
          <w:rFonts w:asciiTheme="minorHAnsi" w:hAnsiTheme="minorHAnsi" w:cstheme="minorHAnsi"/>
        </w:rPr>
        <w:t>, Recueil Alexandries, Collections Recensions, url de référence:</w:t>
      </w:r>
      <w:r w:rsidRPr="001946FA">
        <w:rPr>
          <w:rFonts w:asciiTheme="minorHAnsi" w:hAnsiTheme="minorHAnsi" w:cstheme="minorHAnsi"/>
          <w:color w:val="282728"/>
        </w:rPr>
        <w:t xml:space="preserve"> </w:t>
      </w:r>
      <w:hyperlink r:id="rId10" w:history="1">
        <w:r w:rsidRPr="001946FA">
          <w:rPr>
            <w:rStyle w:val="Lienhypertexte"/>
            <w:rFonts w:asciiTheme="minorHAnsi" w:hAnsiTheme="minorHAnsi" w:cstheme="minorHAnsi"/>
          </w:rPr>
          <w:t>http://www.reseau-terra.eu/article1190.html</w:t>
        </w:r>
      </w:hyperlink>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R. Castel (1990), </w:t>
      </w:r>
      <w:r w:rsidRPr="00E80E22">
        <w:rPr>
          <w:rFonts w:asciiTheme="minorHAnsi" w:hAnsiTheme="minorHAnsi" w:cstheme="minorHAnsi"/>
          <w:iCs/>
        </w:rPr>
        <w:t>Le roman de la désaffiliation. A propos de Tristan et Iseut</w:t>
      </w:r>
      <w:r w:rsidR="00E80E22">
        <w:rPr>
          <w:rFonts w:asciiTheme="minorHAnsi" w:hAnsiTheme="minorHAnsi" w:cstheme="minorHAnsi"/>
        </w:rPr>
        <w:t xml:space="preserve">. </w:t>
      </w:r>
      <w:r w:rsidR="00E80E22" w:rsidRPr="00E80E22">
        <w:rPr>
          <w:rFonts w:asciiTheme="minorHAnsi" w:hAnsiTheme="minorHAnsi" w:cstheme="minorHAnsi"/>
          <w:i/>
        </w:rPr>
        <w:t>Le débat, 61,</w:t>
      </w:r>
      <w:r w:rsidRPr="001946FA">
        <w:rPr>
          <w:rFonts w:asciiTheme="minorHAnsi" w:hAnsiTheme="minorHAnsi" w:cstheme="minorHAnsi"/>
        </w:rPr>
        <w:t xml:space="preserve"> 152-164. </w:t>
      </w: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G. Devereux, </w:t>
      </w:r>
      <w:r w:rsidRPr="001946FA">
        <w:rPr>
          <w:rFonts w:asciiTheme="minorHAnsi" w:hAnsiTheme="minorHAnsi" w:cstheme="minorHAnsi"/>
          <w:i/>
          <w:iCs/>
        </w:rPr>
        <w:t>De l'angoisse à la méthode</w:t>
      </w:r>
      <w:r w:rsidRPr="001946FA">
        <w:rPr>
          <w:rFonts w:asciiTheme="minorHAnsi" w:hAnsiTheme="minorHAnsi" w:cstheme="minorHAnsi"/>
        </w:rPr>
        <w:t>, Flammarion, 1980.</w:t>
      </w: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S. </w:t>
      </w:r>
      <w:proofErr w:type="spellStart"/>
      <w:r w:rsidRPr="001946FA">
        <w:rPr>
          <w:rFonts w:asciiTheme="minorHAnsi" w:hAnsiTheme="minorHAnsi" w:cstheme="minorHAnsi"/>
        </w:rPr>
        <w:t>Ebersold</w:t>
      </w:r>
      <w:proofErr w:type="spellEnd"/>
      <w:r w:rsidRPr="001946FA">
        <w:rPr>
          <w:rFonts w:asciiTheme="minorHAnsi" w:hAnsiTheme="minorHAnsi" w:cstheme="minorHAnsi"/>
        </w:rPr>
        <w:t xml:space="preserve"> (2001), </w:t>
      </w:r>
      <w:r w:rsidRPr="001946FA">
        <w:rPr>
          <w:rFonts w:asciiTheme="minorHAnsi" w:hAnsiTheme="minorHAnsi" w:cstheme="minorHAnsi"/>
          <w:i/>
          <w:iCs/>
        </w:rPr>
        <w:t>La naissance de l’inemployable ou l’insertion aux risques de l’exclusion</w:t>
      </w:r>
      <w:r w:rsidRPr="001946FA">
        <w:rPr>
          <w:rFonts w:asciiTheme="minorHAnsi" w:hAnsiTheme="minorHAnsi" w:cstheme="minorHAnsi"/>
        </w:rPr>
        <w:t>, PUR</w:t>
      </w: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G. </w:t>
      </w:r>
      <w:proofErr w:type="spellStart"/>
      <w:r w:rsidRPr="001946FA">
        <w:rPr>
          <w:rFonts w:asciiTheme="minorHAnsi" w:hAnsiTheme="minorHAnsi" w:cstheme="minorHAnsi"/>
        </w:rPr>
        <w:t>Mauger</w:t>
      </w:r>
      <w:proofErr w:type="spellEnd"/>
      <w:r w:rsidRPr="001946FA">
        <w:rPr>
          <w:rFonts w:asciiTheme="minorHAnsi" w:hAnsiTheme="minorHAnsi" w:cstheme="minorHAnsi"/>
        </w:rPr>
        <w:t xml:space="preserve"> (1991), </w:t>
      </w:r>
      <w:r w:rsidRPr="00E80E22">
        <w:rPr>
          <w:rFonts w:asciiTheme="minorHAnsi" w:hAnsiTheme="minorHAnsi" w:cstheme="minorHAnsi"/>
          <w:iCs/>
        </w:rPr>
        <w:t>Enquêter en milieu populaire</w:t>
      </w:r>
      <w:r w:rsidR="00E80E22">
        <w:rPr>
          <w:rFonts w:asciiTheme="minorHAnsi" w:hAnsiTheme="minorHAnsi" w:cstheme="minorHAnsi"/>
          <w:i/>
          <w:iCs/>
        </w:rPr>
        <w:t>.</w:t>
      </w:r>
      <w:r w:rsidR="00E80E22">
        <w:rPr>
          <w:rFonts w:asciiTheme="minorHAnsi" w:hAnsiTheme="minorHAnsi" w:cstheme="minorHAnsi"/>
        </w:rPr>
        <w:t xml:space="preserve"> </w:t>
      </w:r>
      <w:r w:rsidR="00E80E22" w:rsidRPr="00E80E22">
        <w:rPr>
          <w:rFonts w:asciiTheme="minorHAnsi" w:hAnsiTheme="minorHAnsi" w:cstheme="minorHAnsi"/>
          <w:i/>
        </w:rPr>
        <w:t>Genèses, 6,</w:t>
      </w:r>
      <w:r w:rsidR="00E80E22">
        <w:rPr>
          <w:rFonts w:asciiTheme="minorHAnsi" w:hAnsiTheme="minorHAnsi" w:cstheme="minorHAnsi"/>
        </w:rPr>
        <w:t xml:space="preserve"> </w:t>
      </w:r>
      <w:r w:rsidRPr="001946FA">
        <w:rPr>
          <w:rFonts w:asciiTheme="minorHAnsi" w:hAnsiTheme="minorHAnsi" w:cstheme="minorHAnsi"/>
        </w:rPr>
        <w:t xml:space="preserve">125-143 </w:t>
      </w:r>
    </w:p>
    <w:p w:rsidR="00642ADE" w:rsidRPr="001946FA" w:rsidRDefault="00642ADE" w:rsidP="001946FA">
      <w:pPr>
        <w:pStyle w:val="NormalWeb"/>
        <w:spacing w:before="0" w:beforeAutospacing="0" w:after="0"/>
        <w:jc w:val="both"/>
        <w:rPr>
          <w:rFonts w:asciiTheme="minorHAnsi" w:hAnsiTheme="minorHAnsi" w:cstheme="minorHAnsi"/>
        </w:rPr>
      </w:pPr>
      <w:r w:rsidRPr="001946FA">
        <w:rPr>
          <w:rFonts w:asciiTheme="minorHAnsi" w:hAnsiTheme="minorHAnsi" w:cstheme="minorHAnsi"/>
        </w:rPr>
        <w:t xml:space="preserve">P. </w:t>
      </w:r>
      <w:proofErr w:type="spellStart"/>
      <w:r w:rsidRPr="001946FA">
        <w:rPr>
          <w:rFonts w:asciiTheme="minorHAnsi" w:hAnsiTheme="minorHAnsi" w:cstheme="minorHAnsi"/>
        </w:rPr>
        <w:t>Rosanvallon</w:t>
      </w:r>
      <w:proofErr w:type="spellEnd"/>
      <w:r w:rsidRPr="001946FA">
        <w:rPr>
          <w:rFonts w:asciiTheme="minorHAnsi" w:hAnsiTheme="minorHAnsi" w:cstheme="minorHAnsi"/>
        </w:rPr>
        <w:t xml:space="preserve"> (1995), </w:t>
      </w:r>
      <w:r w:rsidRPr="001946FA">
        <w:rPr>
          <w:rFonts w:asciiTheme="minorHAnsi" w:hAnsiTheme="minorHAnsi" w:cstheme="minorHAnsi"/>
          <w:i/>
          <w:iCs/>
        </w:rPr>
        <w:t>La nouvelle question sociale. Repenser l’Etat-Providence</w:t>
      </w:r>
      <w:r w:rsidRPr="001946FA">
        <w:rPr>
          <w:rFonts w:asciiTheme="minorHAnsi" w:hAnsiTheme="minorHAnsi" w:cstheme="minorHAnsi"/>
        </w:rPr>
        <w:t>, Le seuil.</w:t>
      </w:r>
    </w:p>
    <w:p w:rsidR="004C2C77" w:rsidRPr="001946FA" w:rsidRDefault="009E60E2" w:rsidP="001946FA">
      <w:pPr>
        <w:spacing w:after="0" w:line="240" w:lineRule="auto"/>
        <w:jc w:val="both"/>
        <w:rPr>
          <w:rFonts w:cstheme="minorHAnsi"/>
        </w:rPr>
      </w:pPr>
    </w:p>
    <w:sectPr w:rsidR="004C2C77" w:rsidRPr="001946FA" w:rsidSect="001946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E2" w:rsidRDefault="009E60E2" w:rsidP="00642ADE">
      <w:pPr>
        <w:spacing w:after="0" w:line="240" w:lineRule="auto"/>
      </w:pPr>
      <w:r>
        <w:separator/>
      </w:r>
    </w:p>
  </w:endnote>
  <w:endnote w:type="continuationSeparator" w:id="0">
    <w:p w:rsidR="009E60E2" w:rsidRDefault="009E60E2" w:rsidP="0064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642ADE">
      <w:trPr>
        <w:trHeight w:val="10166"/>
      </w:trPr>
      <w:tc>
        <w:tcPr>
          <w:tcW w:w="498" w:type="dxa"/>
          <w:tcBorders>
            <w:bottom w:val="single" w:sz="4" w:space="0" w:color="auto"/>
          </w:tcBorders>
          <w:textDirection w:val="btLr"/>
        </w:tcPr>
        <w:p w:rsidR="00642ADE" w:rsidRPr="00642ADE" w:rsidRDefault="00642ADE" w:rsidP="00642ADE">
          <w:pPr>
            <w:pStyle w:val="En-tte"/>
            <w:ind w:left="113" w:right="113"/>
            <w:rPr>
              <w:sz w:val="20"/>
              <w:szCs w:val="20"/>
            </w:rPr>
          </w:pPr>
          <w:proofErr w:type="spellStart"/>
          <w:r w:rsidRPr="00642ADE">
            <w:rPr>
              <w:b/>
              <w:color w:val="4F81BD" w:themeColor="accent1"/>
              <w:sz w:val="20"/>
              <w:szCs w:val="20"/>
            </w:rPr>
            <w:t>TransFormations</w:t>
          </w:r>
          <w:proofErr w:type="spellEnd"/>
          <w:r w:rsidRPr="00642ADE">
            <w:rPr>
              <w:color w:val="4F81BD" w:themeColor="accent1"/>
              <w:sz w:val="20"/>
              <w:szCs w:val="20"/>
            </w:rPr>
            <w:t>-</w:t>
          </w:r>
          <w:r w:rsidRPr="00642ADE">
            <w:rPr>
              <w:i/>
              <w:color w:val="4F81BD" w:themeColor="accent1"/>
              <w:sz w:val="20"/>
              <w:szCs w:val="20"/>
            </w:rPr>
            <w:t>Recherches en éducation et formation des adultes </w:t>
          </w:r>
          <w:r w:rsidRPr="00642ADE">
            <w:rPr>
              <w:color w:val="4F81BD" w:themeColor="accent1"/>
              <w:sz w:val="20"/>
              <w:szCs w:val="20"/>
            </w:rPr>
            <w:t xml:space="preserve">: </w:t>
          </w:r>
          <w:r w:rsidRPr="00642ADE">
            <w:rPr>
              <w:sz w:val="20"/>
              <w:szCs w:val="20"/>
            </w:rPr>
            <w:t>n°10 – décembre 2013</w:t>
          </w:r>
          <w:r>
            <w:rPr>
              <w:sz w:val="20"/>
              <w:szCs w:val="20"/>
            </w:rPr>
            <w:t xml:space="preserve"> </w:t>
          </w:r>
        </w:p>
      </w:tc>
    </w:tr>
    <w:tr w:rsidR="00642ADE">
      <w:tc>
        <w:tcPr>
          <w:tcW w:w="498" w:type="dxa"/>
          <w:tcBorders>
            <w:top w:val="single" w:sz="4" w:space="0" w:color="auto"/>
          </w:tcBorders>
        </w:tcPr>
        <w:p w:rsidR="00642ADE" w:rsidRDefault="00642ADE">
          <w:pPr>
            <w:pStyle w:val="Pieddepage"/>
            <w:rPr>
              <w14:numForm w14:val="lining"/>
            </w:rPr>
          </w:pPr>
        </w:p>
      </w:tc>
    </w:tr>
    <w:tr w:rsidR="00642ADE">
      <w:trPr>
        <w:trHeight w:val="768"/>
      </w:trPr>
      <w:tc>
        <w:tcPr>
          <w:tcW w:w="498" w:type="dxa"/>
        </w:tcPr>
        <w:p w:rsidR="00642ADE" w:rsidRDefault="00642ADE">
          <w:pPr>
            <w:pStyle w:val="En-tte"/>
          </w:pPr>
        </w:p>
      </w:tc>
    </w:tr>
  </w:tbl>
  <w:p w:rsidR="009241AE" w:rsidRDefault="009241AE">
    <w:pPr>
      <w:pStyle w:val="Pieddepage"/>
      <w:rPr>
        <w:b/>
        <w:color w:val="365F91" w:themeColor="accent1" w:themeShade="BF"/>
        <w:sz w:val="18"/>
        <w:szCs w:val="18"/>
      </w:rPr>
    </w:pPr>
  </w:p>
  <w:p w:rsidR="009241AE" w:rsidRDefault="009241AE">
    <w:pPr>
      <w:pStyle w:val="Pieddepage"/>
      <w:rPr>
        <w:b/>
        <w:color w:val="365F91" w:themeColor="accent1" w:themeShade="BF"/>
        <w:sz w:val="18"/>
        <w:szCs w:val="18"/>
      </w:rPr>
    </w:pPr>
  </w:p>
  <w:p w:rsidR="00642ADE" w:rsidRPr="001946FA" w:rsidRDefault="00642ADE">
    <w:pPr>
      <w:pStyle w:val="Pieddepage"/>
      <w:rPr>
        <w:color w:val="365F91" w:themeColor="accent1" w:themeShade="BF"/>
        <w:sz w:val="18"/>
        <w:szCs w:val="18"/>
      </w:rPr>
    </w:pPr>
    <w:proofErr w:type="spellStart"/>
    <w:r w:rsidRPr="001946FA">
      <w:rPr>
        <w:b/>
        <w:color w:val="365F91" w:themeColor="accent1" w:themeShade="BF"/>
        <w:sz w:val="18"/>
        <w:szCs w:val="18"/>
      </w:rPr>
      <w:t>TransFormations</w:t>
    </w:r>
    <w:proofErr w:type="spellEnd"/>
    <w:r w:rsidRPr="001946FA">
      <w:rPr>
        <w:color w:val="365F91" w:themeColor="accent1" w:themeShade="BF"/>
        <w:sz w:val="18"/>
        <w:szCs w:val="18"/>
      </w:rPr>
      <w:t>-Recherches en éducation et formation des adultes</w:t>
    </w:r>
  </w:p>
  <w:p w:rsidR="00642ADE" w:rsidRPr="001946FA" w:rsidRDefault="00642ADE">
    <w:pPr>
      <w:pStyle w:val="Pieddepage"/>
      <w:rPr>
        <w:color w:val="365F91" w:themeColor="accent1" w:themeShade="BF"/>
        <w:sz w:val="18"/>
        <w:szCs w:val="18"/>
      </w:rPr>
    </w:pPr>
    <w:proofErr w:type="spellStart"/>
    <w:r w:rsidRPr="001946FA">
      <w:rPr>
        <w:color w:val="365F91" w:themeColor="accent1" w:themeShade="BF"/>
        <w:sz w:val="18"/>
        <w:szCs w:val="18"/>
      </w:rPr>
      <w:t>Cueep</w:t>
    </w:r>
    <w:proofErr w:type="spellEnd"/>
    <w:r w:rsidRPr="001946FA">
      <w:rPr>
        <w:color w:val="365F91" w:themeColor="accent1" w:themeShade="BF"/>
        <w:sz w:val="18"/>
        <w:szCs w:val="18"/>
      </w:rPr>
      <w:t xml:space="preserve"> – Université de Lille 1</w:t>
    </w:r>
  </w:p>
  <w:p w:rsidR="00642ADE" w:rsidRPr="001946FA" w:rsidRDefault="00642ADE">
    <w:pPr>
      <w:pStyle w:val="Pieddepage"/>
      <w:rPr>
        <w:color w:val="365F91" w:themeColor="accent1" w:themeShade="BF"/>
        <w:sz w:val="18"/>
        <w:szCs w:val="18"/>
      </w:rPr>
    </w:pPr>
    <w:r w:rsidRPr="001946FA">
      <w:rPr>
        <w:color w:val="365F91" w:themeColor="accent1" w:themeShade="BF"/>
        <w:sz w:val="18"/>
        <w:szCs w:val="18"/>
      </w:rPr>
      <w:t>Cité Scientifique – Bât B5-6</w:t>
    </w:r>
  </w:p>
  <w:p w:rsidR="00DE201B" w:rsidRPr="001946FA" w:rsidRDefault="00DE201B">
    <w:pPr>
      <w:pStyle w:val="Pieddepage"/>
      <w:rPr>
        <w:color w:val="365F91" w:themeColor="accent1" w:themeShade="BF"/>
        <w:sz w:val="18"/>
        <w:szCs w:val="18"/>
      </w:rPr>
    </w:pPr>
    <w:r w:rsidRPr="001946FA">
      <w:rPr>
        <w:color w:val="365F91" w:themeColor="accent1" w:themeShade="BF"/>
        <w:sz w:val="18"/>
        <w:szCs w:val="18"/>
      </w:rPr>
      <w:t>59655 Villeneuve d’A</w:t>
    </w:r>
    <w:r w:rsidR="001946FA" w:rsidRPr="001946FA">
      <w:rPr>
        <w:color w:val="365F91" w:themeColor="accent1" w:themeShade="BF"/>
        <w:sz w:val="18"/>
        <w:szCs w:val="18"/>
      </w:rPr>
      <w:t>scq cedex</w:t>
    </w:r>
  </w:p>
  <w:p w:rsidR="001946FA" w:rsidRPr="001946FA" w:rsidRDefault="001946FA">
    <w:pPr>
      <w:pStyle w:val="Pieddepage"/>
      <w:rPr>
        <w:color w:val="365F91" w:themeColor="accent1" w:themeShade="BF"/>
        <w:sz w:val="18"/>
        <w:szCs w:val="18"/>
      </w:rPr>
    </w:pPr>
    <w:r w:rsidRPr="001946FA">
      <w:rPr>
        <w:color w:val="365F91" w:themeColor="accent1" w:themeShade="BF"/>
        <w:sz w:val="18"/>
        <w:szCs w:val="18"/>
      </w:rPr>
      <w:t xml:space="preserve">Tél : 03 20 43 32 87 – </w:t>
    </w:r>
    <w:hyperlink r:id="rId1" w:history="1">
      <w:r w:rsidRPr="001946FA">
        <w:rPr>
          <w:rStyle w:val="Lienhypertexte"/>
          <w:color w:val="365F91" w:themeColor="accent1" w:themeShade="BF"/>
          <w:sz w:val="18"/>
          <w:szCs w:val="18"/>
        </w:rPr>
        <w:t>transformations@univ-lille1.fr</w:t>
      </w:r>
    </w:hyperlink>
  </w:p>
  <w:p w:rsidR="001946FA" w:rsidRPr="001946FA" w:rsidRDefault="001946FA">
    <w:pPr>
      <w:pStyle w:val="Pieddepage"/>
      <w:rPr>
        <w:color w:val="365F91" w:themeColor="accent1" w:themeShade="BF"/>
        <w:sz w:val="18"/>
        <w:szCs w:val="18"/>
      </w:rPr>
    </w:pPr>
    <w:hyperlink r:id="rId2" w:history="1">
      <w:r w:rsidRPr="001946FA">
        <w:rPr>
          <w:rStyle w:val="Lienhypertexte"/>
          <w:color w:val="365F91" w:themeColor="accent1" w:themeShade="BF"/>
          <w:sz w:val="18"/>
          <w:szCs w:val="18"/>
        </w:rPr>
        <w:t>http://www.trigone.univ-lille1.fr/transformations/</w:t>
      </w:r>
    </w:hyperlink>
  </w:p>
  <w:p w:rsidR="001946FA" w:rsidRDefault="001946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E2" w:rsidRDefault="009E60E2" w:rsidP="00642ADE">
      <w:pPr>
        <w:spacing w:after="0" w:line="240" w:lineRule="auto"/>
      </w:pPr>
      <w:r>
        <w:separator/>
      </w:r>
    </w:p>
  </w:footnote>
  <w:footnote w:type="continuationSeparator" w:id="0">
    <w:p w:rsidR="009E60E2" w:rsidRDefault="009E60E2" w:rsidP="00642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112B"/>
    <w:multiLevelType w:val="multilevel"/>
    <w:tmpl w:val="A76E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DE"/>
    <w:rsid w:val="00055A8F"/>
    <w:rsid w:val="00157FEA"/>
    <w:rsid w:val="001946FA"/>
    <w:rsid w:val="001B395C"/>
    <w:rsid w:val="00217C58"/>
    <w:rsid w:val="00642ADE"/>
    <w:rsid w:val="006568EF"/>
    <w:rsid w:val="00763F5D"/>
    <w:rsid w:val="00776D7A"/>
    <w:rsid w:val="009241AE"/>
    <w:rsid w:val="009427B6"/>
    <w:rsid w:val="00945053"/>
    <w:rsid w:val="009E60E2"/>
    <w:rsid w:val="00B371F0"/>
    <w:rsid w:val="00DE201B"/>
    <w:rsid w:val="00E5721C"/>
    <w:rsid w:val="00E80E22"/>
    <w:rsid w:val="00E82775"/>
    <w:rsid w:val="00EE4F04"/>
    <w:rsid w:val="00F54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4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946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2ADE"/>
    <w:rPr>
      <w:color w:val="0000FF"/>
      <w:u w:val="single"/>
    </w:rPr>
  </w:style>
  <w:style w:type="paragraph" w:styleId="NormalWeb">
    <w:name w:val="Normal (Web)"/>
    <w:basedOn w:val="Normal"/>
    <w:uiPriority w:val="99"/>
    <w:unhideWhenUsed/>
    <w:rsid w:val="00642ADE"/>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2ADE"/>
    <w:pPr>
      <w:tabs>
        <w:tab w:val="center" w:pos="4536"/>
        <w:tab w:val="right" w:pos="9072"/>
      </w:tabs>
      <w:spacing w:after="0" w:line="240" w:lineRule="auto"/>
    </w:pPr>
  </w:style>
  <w:style w:type="character" w:customStyle="1" w:styleId="En-tteCar">
    <w:name w:val="En-tête Car"/>
    <w:basedOn w:val="Policepardfaut"/>
    <w:link w:val="En-tte"/>
    <w:uiPriority w:val="99"/>
    <w:rsid w:val="00642ADE"/>
  </w:style>
  <w:style w:type="paragraph" w:styleId="Pieddepage">
    <w:name w:val="footer"/>
    <w:basedOn w:val="Normal"/>
    <w:link w:val="PieddepageCar"/>
    <w:uiPriority w:val="99"/>
    <w:unhideWhenUsed/>
    <w:rsid w:val="00642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ADE"/>
  </w:style>
  <w:style w:type="paragraph" w:styleId="Textedebulles">
    <w:name w:val="Balloon Text"/>
    <w:basedOn w:val="Normal"/>
    <w:link w:val="TextedebullesCar"/>
    <w:uiPriority w:val="99"/>
    <w:semiHidden/>
    <w:unhideWhenUsed/>
    <w:rsid w:val="00194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6FA"/>
    <w:rPr>
      <w:rFonts w:ascii="Tahoma" w:hAnsi="Tahoma" w:cs="Tahoma"/>
      <w:sz w:val="16"/>
      <w:szCs w:val="16"/>
    </w:rPr>
  </w:style>
  <w:style w:type="paragraph" w:styleId="Titre">
    <w:name w:val="Title"/>
    <w:basedOn w:val="Normal"/>
    <w:next w:val="Normal"/>
    <w:link w:val="TitreCar"/>
    <w:uiPriority w:val="10"/>
    <w:qFormat/>
    <w:rsid w:val="00194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946F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1946F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946FA"/>
    <w:rPr>
      <w:rFonts w:asciiTheme="majorHAnsi" w:eastAsiaTheme="majorEastAsia" w:hAnsiTheme="majorHAnsi" w:cstheme="majorBidi"/>
      <w:b/>
      <w:bCs/>
      <w:color w:val="4F81BD" w:themeColor="accent1"/>
      <w:sz w:val="26"/>
      <w:szCs w:val="26"/>
    </w:rPr>
  </w:style>
  <w:style w:type="character" w:styleId="Emphaseintense">
    <w:name w:val="Intense Emphasis"/>
    <w:basedOn w:val="Policepardfaut"/>
    <w:uiPriority w:val="21"/>
    <w:qFormat/>
    <w:rsid w:val="001946FA"/>
    <w:rPr>
      <w:b/>
      <w:bCs/>
      <w:i/>
      <w:iCs/>
      <w:color w:val="4F81BD" w:themeColor="accent1"/>
    </w:rPr>
  </w:style>
  <w:style w:type="paragraph" w:styleId="Citationintense">
    <w:name w:val="Intense Quote"/>
    <w:basedOn w:val="Normal"/>
    <w:next w:val="Normal"/>
    <w:link w:val="CitationintenseCar"/>
    <w:uiPriority w:val="30"/>
    <w:qFormat/>
    <w:rsid w:val="00055A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55A8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4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946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2ADE"/>
    <w:rPr>
      <w:color w:val="0000FF"/>
      <w:u w:val="single"/>
    </w:rPr>
  </w:style>
  <w:style w:type="paragraph" w:styleId="NormalWeb">
    <w:name w:val="Normal (Web)"/>
    <w:basedOn w:val="Normal"/>
    <w:uiPriority w:val="99"/>
    <w:unhideWhenUsed/>
    <w:rsid w:val="00642ADE"/>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2ADE"/>
    <w:pPr>
      <w:tabs>
        <w:tab w:val="center" w:pos="4536"/>
        <w:tab w:val="right" w:pos="9072"/>
      </w:tabs>
      <w:spacing w:after="0" w:line="240" w:lineRule="auto"/>
    </w:pPr>
  </w:style>
  <w:style w:type="character" w:customStyle="1" w:styleId="En-tteCar">
    <w:name w:val="En-tête Car"/>
    <w:basedOn w:val="Policepardfaut"/>
    <w:link w:val="En-tte"/>
    <w:uiPriority w:val="99"/>
    <w:rsid w:val="00642ADE"/>
  </w:style>
  <w:style w:type="paragraph" w:styleId="Pieddepage">
    <w:name w:val="footer"/>
    <w:basedOn w:val="Normal"/>
    <w:link w:val="PieddepageCar"/>
    <w:uiPriority w:val="99"/>
    <w:unhideWhenUsed/>
    <w:rsid w:val="00642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ADE"/>
  </w:style>
  <w:style w:type="paragraph" w:styleId="Textedebulles">
    <w:name w:val="Balloon Text"/>
    <w:basedOn w:val="Normal"/>
    <w:link w:val="TextedebullesCar"/>
    <w:uiPriority w:val="99"/>
    <w:semiHidden/>
    <w:unhideWhenUsed/>
    <w:rsid w:val="00194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6FA"/>
    <w:rPr>
      <w:rFonts w:ascii="Tahoma" w:hAnsi="Tahoma" w:cs="Tahoma"/>
      <w:sz w:val="16"/>
      <w:szCs w:val="16"/>
    </w:rPr>
  </w:style>
  <w:style w:type="paragraph" w:styleId="Titre">
    <w:name w:val="Title"/>
    <w:basedOn w:val="Normal"/>
    <w:next w:val="Normal"/>
    <w:link w:val="TitreCar"/>
    <w:uiPriority w:val="10"/>
    <w:qFormat/>
    <w:rsid w:val="00194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946F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1946F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946FA"/>
    <w:rPr>
      <w:rFonts w:asciiTheme="majorHAnsi" w:eastAsiaTheme="majorEastAsia" w:hAnsiTheme="majorHAnsi" w:cstheme="majorBidi"/>
      <w:b/>
      <w:bCs/>
      <w:color w:val="4F81BD" w:themeColor="accent1"/>
      <w:sz w:val="26"/>
      <w:szCs w:val="26"/>
    </w:rPr>
  </w:style>
  <w:style w:type="character" w:styleId="Emphaseintense">
    <w:name w:val="Intense Emphasis"/>
    <w:basedOn w:val="Policepardfaut"/>
    <w:uiPriority w:val="21"/>
    <w:qFormat/>
    <w:rsid w:val="001946FA"/>
    <w:rPr>
      <w:b/>
      <w:bCs/>
      <w:i/>
      <w:iCs/>
      <w:color w:val="4F81BD" w:themeColor="accent1"/>
    </w:rPr>
  </w:style>
  <w:style w:type="paragraph" w:styleId="Citationintense">
    <w:name w:val="Intense Quote"/>
    <w:basedOn w:val="Normal"/>
    <w:next w:val="Normal"/>
    <w:link w:val="CitationintenseCar"/>
    <w:uiPriority w:val="30"/>
    <w:qFormat/>
    <w:rsid w:val="00055A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55A8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seau-terra.eu/article1190.html" TargetMode="External"/><Relationship Id="rId4" Type="http://schemas.openxmlformats.org/officeDocument/2006/relationships/settings" Target="settings.xml"/><Relationship Id="rId9" Type="http://schemas.openxmlformats.org/officeDocument/2006/relationships/hyperlink" Target="mailto:cueep-revue-transformations@univ-lille1.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rigone.univ-lille1.fr/transformations/" TargetMode="External"/><Relationship Id="rId1" Type="http://schemas.openxmlformats.org/officeDocument/2006/relationships/hyperlink" Target="mailto:transformations@univ-lille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Dourlens</dc:creator>
  <cp:keywords/>
  <dc:description/>
  <cp:lastModifiedBy>Anne Dourlens</cp:lastModifiedBy>
  <cp:revision>20</cp:revision>
  <dcterms:created xsi:type="dcterms:W3CDTF">2012-04-20T07:57:00Z</dcterms:created>
  <dcterms:modified xsi:type="dcterms:W3CDTF">2012-04-20T09:18:00Z</dcterms:modified>
</cp:coreProperties>
</file>